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DEDD" w14:textId="77777777" w:rsidR="00701D65" w:rsidRPr="000E4F1B" w:rsidRDefault="00701D65" w:rsidP="00701D65">
      <w:pPr>
        <w:pStyle w:val="Default"/>
        <w:rPr>
          <w:sz w:val="28"/>
        </w:rPr>
      </w:pPr>
    </w:p>
    <w:p w14:paraId="41B0891F" w14:textId="77777777" w:rsidR="00CD3279" w:rsidRDefault="00701D65" w:rsidP="00701D65">
      <w:pPr>
        <w:pStyle w:val="Default"/>
        <w:jc w:val="center"/>
        <w:rPr>
          <w:b/>
          <w:bCs/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ПАСПОРТ УСЛУГИ (ПРОЦЕССА) </w:t>
      </w:r>
      <w:r w:rsidR="00CD3279" w:rsidRPr="002E4A87">
        <w:rPr>
          <w:b/>
          <w:bCs/>
          <w:sz w:val="20"/>
          <w:szCs w:val="18"/>
        </w:rPr>
        <w:t>ООО «</w:t>
      </w:r>
      <w:r w:rsidR="00CD3279">
        <w:rPr>
          <w:b/>
          <w:bCs/>
          <w:sz w:val="20"/>
          <w:szCs w:val="18"/>
        </w:rPr>
        <w:t>КЭС Оренбуржья</w:t>
      </w:r>
      <w:r w:rsidR="00CD3279" w:rsidRPr="002E4A87">
        <w:rPr>
          <w:b/>
          <w:bCs/>
          <w:sz w:val="20"/>
          <w:szCs w:val="18"/>
        </w:rPr>
        <w:t>»</w:t>
      </w:r>
    </w:p>
    <w:p w14:paraId="4F408A05" w14:textId="4CA06E33" w:rsidR="00701D65" w:rsidRPr="000E4F1B" w:rsidRDefault="00701D65" w:rsidP="00701D65">
      <w:pPr>
        <w:pStyle w:val="Default"/>
        <w:jc w:val="center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>КОД 2.2 ТЕХНОЛОГИЧЕСКОЕ ПРИСОЕДИНЕНИЕ К ЭЛЕКТРИЧЕСКИМ СЕТЯМ СЕТЕВОЙ ОРГАНИЗАЦИИ</w:t>
      </w:r>
    </w:p>
    <w:p w14:paraId="79FBD1AE" w14:textId="77777777" w:rsidR="00701D65" w:rsidRPr="000E4F1B" w:rsidRDefault="00701D65" w:rsidP="00701D65">
      <w:pPr>
        <w:pStyle w:val="Default"/>
        <w:jc w:val="center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>ПОСРЕДСТВОМ ПЕРЕРАСПРЕДЕЛЕНИЯ МАКСИМАЛЬНОЙ МОЩНОСТИ</w:t>
      </w:r>
    </w:p>
    <w:p w14:paraId="4CA807AE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КРУГ ЗАЯВИТЕЛЕЙ: </w:t>
      </w:r>
      <w:r w:rsidRPr="000E4F1B">
        <w:rPr>
          <w:sz w:val="20"/>
          <w:szCs w:val="18"/>
        </w:rPr>
        <w:t xml:space="preserve">юридическое лицо или индивидуальный предприниматель. </w:t>
      </w:r>
    </w:p>
    <w:p w14:paraId="653B87A2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0E4F1B">
        <w:rPr>
          <w:sz w:val="20"/>
          <w:szCs w:val="18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 </w:t>
      </w:r>
    </w:p>
    <w:p w14:paraId="37CF417F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УСЛОВИЯ ОКАЗАНИЯ УСЛУГИ (ПРОЦЕССА): </w:t>
      </w:r>
    </w:p>
    <w:p w14:paraId="25107157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14:paraId="02D8E609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 xml:space="preserve"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 </w:t>
      </w:r>
    </w:p>
    <w:p w14:paraId="55FD8910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 xml:space="preserve">3) Заявители,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 </w:t>
      </w:r>
    </w:p>
    <w:p w14:paraId="7A800194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с энергопринимающими устройствами для бытовых и иных нужд не связанных с предпринимательской деятельностью нагрузкой до 15 кВт (с</w:t>
      </w:r>
      <w:r w:rsidR="00342104" w:rsidRPr="000E4F1B">
        <w:rPr>
          <w:sz w:val="20"/>
          <w:szCs w:val="18"/>
        </w:rPr>
        <w:t xml:space="preserve"> учетом ранее присоединенной) (</w:t>
      </w:r>
      <w:r w:rsidRPr="000E4F1B">
        <w:rPr>
          <w:sz w:val="20"/>
          <w:szCs w:val="18"/>
        </w:rPr>
        <w:t xml:space="preserve">3 категория надежности). </w:t>
      </w:r>
    </w:p>
    <w:p w14:paraId="1BC988A6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РЕЗУЛЬТАТ ОКАЗАНИЯ УСЛУГИ (ПРОЦЕССА): </w:t>
      </w:r>
      <w:r w:rsidRPr="000E4F1B">
        <w:rPr>
          <w:sz w:val="20"/>
          <w:szCs w:val="18"/>
        </w:rPr>
        <w:t xml:space="preserve">технологическое присоединение энергопринимающих устройств Заявителя посредством перераспределения мощности. </w:t>
      </w:r>
    </w:p>
    <w:p w14:paraId="1D8C01C7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ОБЩИЙ СРОК ОКАЗАНИЯ УСЛУГИ (ПРОЦЕССА): </w:t>
      </w:r>
    </w:p>
    <w:p w14:paraId="1F2CEEFC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30 дней - </w:t>
      </w:r>
      <w:r w:rsidRPr="000E4F1B">
        <w:rPr>
          <w:sz w:val="20"/>
          <w:szCs w:val="18"/>
        </w:rPr>
        <w:t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(или)отсутствует необходимость строительства (реконструкции) объектов электросетевого хозяйства, включенных</w:t>
      </w:r>
      <w:r w:rsidR="00413EFE" w:rsidRPr="000E4F1B">
        <w:rPr>
          <w:sz w:val="20"/>
          <w:szCs w:val="18"/>
        </w:rPr>
        <w:t xml:space="preserve"> </w:t>
      </w:r>
      <w:r w:rsidRPr="000E4F1B">
        <w:rPr>
          <w:sz w:val="20"/>
          <w:szCs w:val="18"/>
        </w:rPr>
        <w:t xml:space="preserve">(подлежащих включению в инвест. программы сетевой организации ( в том числе смежных сетевых организаций) и (или) объектов по производству эл. энергии. </w:t>
      </w:r>
    </w:p>
    <w:p w14:paraId="19D8FC29" w14:textId="77777777" w:rsidR="00AC1893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</w:t>
      </w:r>
      <w:r w:rsidR="00AC1893" w:rsidRPr="000E4F1B">
        <w:rPr>
          <w:sz w:val="20"/>
          <w:szCs w:val="18"/>
        </w:rPr>
        <w:t xml:space="preserve">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 </w:t>
      </w:r>
    </w:p>
    <w:p w14:paraId="344E76BB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</w:p>
    <w:p w14:paraId="412DA280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120 дней </w:t>
      </w:r>
      <w:r w:rsidRPr="000E4F1B">
        <w:rPr>
          <w:sz w:val="20"/>
          <w:szCs w:val="18"/>
        </w:rPr>
        <w:t xml:space="preserve">- для заявителей, максимальная мощность энергопринимающих устройств которых составляет до 670 кВт; </w:t>
      </w:r>
    </w:p>
    <w:p w14:paraId="0EBFD5AE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1 год </w:t>
      </w:r>
      <w:r w:rsidRPr="000E4F1B">
        <w:rPr>
          <w:sz w:val="20"/>
          <w:szCs w:val="18"/>
        </w:rPr>
        <w:t xml:space="preserve">- для заявителей, максимальная мощность энергопринимающих устройств которых составляет свыше 670 кВт. </w:t>
      </w:r>
    </w:p>
    <w:p w14:paraId="70752B21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>В случаях строительства (реконструкции)объектов электрос</w:t>
      </w:r>
      <w:r w:rsidR="00413EFE" w:rsidRPr="000E4F1B">
        <w:rPr>
          <w:sz w:val="20"/>
          <w:szCs w:val="18"/>
        </w:rPr>
        <w:t>етевого хозяйства, включенных (</w:t>
      </w:r>
      <w:r w:rsidRPr="000E4F1B">
        <w:rPr>
          <w:sz w:val="20"/>
          <w:szCs w:val="18"/>
        </w:rPr>
        <w:t xml:space="preserve">подлежащих включению) в инвестиционные программы ( в том числе смежных сетевых организаций) и (или) объектов по производству эл. энергии: </w:t>
      </w:r>
    </w:p>
    <w:p w14:paraId="5A0496A9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6 месяцев - в </w:t>
      </w:r>
      <w:r w:rsidRPr="000E4F1B">
        <w:rPr>
          <w:sz w:val="20"/>
          <w:szCs w:val="18"/>
        </w:rPr>
        <w:t xml:space="preserve">случаях технологического присоединения к электрическим сетям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</w:t>
      </w:r>
    </w:p>
    <w:p w14:paraId="7D14AD07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1 год </w:t>
      </w:r>
      <w:r w:rsidRPr="000E4F1B">
        <w:rPr>
          <w:sz w:val="20"/>
          <w:szCs w:val="18"/>
        </w:rPr>
        <w:t xml:space="preserve">- для заявителей, максимальная мощность энергопринимающих устройств которых составляет менее 670 кВт; </w:t>
      </w:r>
    </w:p>
    <w:p w14:paraId="1D3EEB5E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2 года, </w:t>
      </w:r>
      <w:r w:rsidRPr="000E4F1B">
        <w:rPr>
          <w:sz w:val="20"/>
          <w:szCs w:val="18"/>
        </w:rPr>
        <w:t xml:space="preserve">если иные сроки не предусмотрены инвестиционной программой (но не более 4 лет) - для заявителей, максимальная мощность энергопринимающих устройств которых составляет не менее 670 кВт. </w:t>
      </w:r>
    </w:p>
    <w:p w14:paraId="11D83883" w14:textId="77777777" w:rsidR="0056278B" w:rsidRPr="000E4F1B" w:rsidRDefault="00AC1893" w:rsidP="00AC1893">
      <w:pPr>
        <w:rPr>
          <w:rFonts w:ascii="Times New Roman" w:hAnsi="Times New Roman" w:cs="Times New Roman"/>
          <w:b/>
          <w:bCs/>
          <w:sz w:val="20"/>
          <w:szCs w:val="18"/>
        </w:rPr>
      </w:pPr>
      <w:r w:rsidRPr="000E4F1B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12"/>
        <w:gridCol w:w="1861"/>
        <w:gridCol w:w="2791"/>
        <w:gridCol w:w="2077"/>
        <w:gridCol w:w="2079"/>
        <w:gridCol w:w="2079"/>
      </w:tblGrid>
      <w:tr w:rsidR="002977B0" w:rsidRPr="000E4F1B" w14:paraId="35D19E31" w14:textId="77777777" w:rsidTr="00F741D7">
        <w:tc>
          <w:tcPr>
            <w:tcW w:w="561" w:type="dxa"/>
          </w:tcPr>
          <w:p w14:paraId="2EFCB862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№</w:t>
            </w:r>
          </w:p>
        </w:tc>
        <w:tc>
          <w:tcPr>
            <w:tcW w:w="3112" w:type="dxa"/>
          </w:tcPr>
          <w:p w14:paraId="303A4352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Этап</w:t>
            </w:r>
          </w:p>
        </w:tc>
        <w:tc>
          <w:tcPr>
            <w:tcW w:w="1861" w:type="dxa"/>
          </w:tcPr>
          <w:p w14:paraId="463571B6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Условие этапа</w:t>
            </w:r>
          </w:p>
        </w:tc>
        <w:tc>
          <w:tcPr>
            <w:tcW w:w="2791" w:type="dxa"/>
          </w:tcPr>
          <w:p w14:paraId="0B58338E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Содержание</w:t>
            </w:r>
          </w:p>
        </w:tc>
        <w:tc>
          <w:tcPr>
            <w:tcW w:w="2077" w:type="dxa"/>
          </w:tcPr>
          <w:p w14:paraId="51BE794B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Форма предоставления</w:t>
            </w:r>
          </w:p>
        </w:tc>
        <w:tc>
          <w:tcPr>
            <w:tcW w:w="2079" w:type="dxa"/>
          </w:tcPr>
          <w:p w14:paraId="1340209E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Срок исполнения</w:t>
            </w:r>
          </w:p>
        </w:tc>
        <w:tc>
          <w:tcPr>
            <w:tcW w:w="2079" w:type="dxa"/>
          </w:tcPr>
          <w:p w14:paraId="1E30163B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Ссылка на нормативно правовой акт</w:t>
            </w:r>
          </w:p>
        </w:tc>
      </w:tr>
      <w:tr w:rsidR="002977B0" w:rsidRPr="000E4F1B" w14:paraId="0CD68BDD" w14:textId="77777777" w:rsidTr="00F741D7">
        <w:tc>
          <w:tcPr>
            <w:tcW w:w="561" w:type="dxa"/>
          </w:tcPr>
          <w:p w14:paraId="45AE7F96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1.1</w:t>
            </w:r>
          </w:p>
        </w:tc>
        <w:tc>
          <w:tcPr>
            <w:tcW w:w="3112" w:type="dxa"/>
          </w:tcPr>
          <w:p w14:paraId="526189C3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1861" w:type="dxa"/>
          </w:tcPr>
          <w:p w14:paraId="02EEE9BE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791" w:type="dxa"/>
          </w:tcPr>
          <w:p w14:paraId="2289C0B8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Заключение соглашения между лицами о перераспределении максимальной мощности принадлежащими им энергопринимающими устройствами</w:t>
            </w:r>
          </w:p>
        </w:tc>
        <w:tc>
          <w:tcPr>
            <w:tcW w:w="2077" w:type="dxa"/>
          </w:tcPr>
          <w:p w14:paraId="19B30A25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письменной форме</w:t>
            </w:r>
          </w:p>
        </w:tc>
        <w:tc>
          <w:tcPr>
            <w:tcW w:w="2079" w:type="dxa"/>
          </w:tcPr>
          <w:p w14:paraId="0498F9DF" w14:textId="77777777" w:rsidR="0085381F" w:rsidRPr="000E4F1B" w:rsidRDefault="0085381F" w:rsidP="0085381F">
            <w:pPr>
              <w:pStyle w:val="Default"/>
              <w:rPr>
                <w:sz w:val="18"/>
                <w:szCs w:val="16"/>
              </w:rPr>
            </w:pPr>
            <w:r w:rsidRPr="000E4F1B">
              <w:rPr>
                <w:sz w:val="18"/>
                <w:szCs w:val="16"/>
              </w:rPr>
              <w:t xml:space="preserve">Не ограничено </w:t>
            </w:r>
          </w:p>
          <w:p w14:paraId="7BB69DF9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27D761FA" w14:textId="38C19AEE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="00CD3279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</w:t>
            </w:r>
            <w:r w:rsidR="00CD3279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.</w:t>
            </w:r>
          </w:p>
        </w:tc>
      </w:tr>
      <w:tr w:rsidR="002977B0" w:rsidRPr="000E4F1B" w14:paraId="768BE88F" w14:textId="77777777" w:rsidTr="00F741D7">
        <w:tc>
          <w:tcPr>
            <w:tcW w:w="561" w:type="dxa"/>
          </w:tcPr>
          <w:p w14:paraId="1DC0612C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1.2</w:t>
            </w:r>
          </w:p>
        </w:tc>
        <w:tc>
          <w:tcPr>
            <w:tcW w:w="3112" w:type="dxa"/>
          </w:tcPr>
          <w:p w14:paraId="785C9E30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1861" w:type="dxa"/>
          </w:tcPr>
          <w:p w14:paraId="142D830A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2791" w:type="dxa"/>
          </w:tcPr>
          <w:p w14:paraId="3108C3D1" w14:textId="77777777" w:rsidR="00AC1893" w:rsidRPr="000E4F1B" w:rsidRDefault="00413EFE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1.2.1 </w:t>
            </w:r>
            <w:r w:rsidR="00AC1893"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2077" w:type="dxa"/>
          </w:tcPr>
          <w:p w14:paraId="384CF0B5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2079" w:type="dxa"/>
          </w:tcPr>
          <w:p w14:paraId="7ABB2A0A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7948BD1D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77B0" w:rsidRPr="000E4F1B" w14:paraId="367A089C" w14:textId="77777777" w:rsidTr="00F741D7">
        <w:tc>
          <w:tcPr>
            <w:tcW w:w="561" w:type="dxa"/>
          </w:tcPr>
          <w:p w14:paraId="7065ACDC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</w:tcPr>
          <w:p w14:paraId="07A557F4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6D2BF1FF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791" w:type="dxa"/>
          </w:tcPr>
          <w:p w14:paraId="49EFB2FB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1.2.2.Сетевая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077" w:type="dxa"/>
          </w:tcPr>
          <w:p w14:paraId="0BB21E07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79" w:type="dxa"/>
          </w:tcPr>
          <w:p w14:paraId="4B36BA06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6 рабочих дней после получения заявки</w:t>
            </w:r>
          </w:p>
        </w:tc>
        <w:tc>
          <w:tcPr>
            <w:tcW w:w="2079" w:type="dxa"/>
          </w:tcPr>
          <w:p w14:paraId="0D8B5CF6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741D7" w:rsidRPr="000E4F1B" w14:paraId="2F995D04" w14:textId="77777777" w:rsidTr="00F741D7">
        <w:tc>
          <w:tcPr>
            <w:tcW w:w="561" w:type="dxa"/>
          </w:tcPr>
          <w:p w14:paraId="02A907D7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1.3</w:t>
            </w:r>
          </w:p>
        </w:tc>
        <w:tc>
          <w:tcPr>
            <w:tcW w:w="3112" w:type="dxa"/>
          </w:tcPr>
          <w:p w14:paraId="299E7B4E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1861" w:type="dxa"/>
          </w:tcPr>
          <w:p w14:paraId="3FED1BA8" w14:textId="77777777" w:rsidR="0085381F" w:rsidRPr="000E4F1B" w:rsidRDefault="0085381F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следующих случаях:</w:t>
            </w:r>
          </w:p>
          <w:p w14:paraId="064ACEFB" w14:textId="77777777" w:rsidR="0085381F" w:rsidRPr="000E4F1B" w:rsidRDefault="0085381F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14:paraId="7EF32994" w14:textId="77777777" w:rsidR="00AC1893" w:rsidRPr="000E4F1B" w:rsidRDefault="0085381F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2791" w:type="dxa"/>
          </w:tcPr>
          <w:p w14:paraId="518F0E06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2077" w:type="dxa"/>
          </w:tcPr>
          <w:p w14:paraId="7819CE5F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Способом, позволяющим подтвердить факт получения</w:t>
            </w:r>
          </w:p>
        </w:tc>
        <w:tc>
          <w:tcPr>
            <w:tcW w:w="2079" w:type="dxa"/>
          </w:tcPr>
          <w:p w14:paraId="110F1CAF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5 рабочих дней со дня получения уведомления</w:t>
            </w:r>
          </w:p>
        </w:tc>
        <w:tc>
          <w:tcPr>
            <w:tcW w:w="2079" w:type="dxa"/>
          </w:tcPr>
          <w:p w14:paraId="0BCC16F5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75EAEAB6" w14:textId="77777777" w:rsidTr="00F741D7">
        <w:tc>
          <w:tcPr>
            <w:tcW w:w="561" w:type="dxa"/>
          </w:tcPr>
          <w:p w14:paraId="29923C2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2.</w:t>
            </w:r>
          </w:p>
        </w:tc>
        <w:tc>
          <w:tcPr>
            <w:tcW w:w="3112" w:type="dxa"/>
            <w:vMerge w:val="restart"/>
          </w:tcPr>
          <w:p w14:paraId="6A1A1B2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1861" w:type="dxa"/>
          </w:tcPr>
          <w:p w14:paraId="06916EF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tcW w:w="2791" w:type="dxa"/>
          </w:tcPr>
          <w:p w14:paraId="145B60A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2.1.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077" w:type="dxa"/>
          </w:tcPr>
          <w:p w14:paraId="1098063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79" w:type="dxa"/>
          </w:tcPr>
          <w:p w14:paraId="333254A0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2CE55B4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4CBECD57" w14:textId="77777777" w:rsidTr="00F741D7">
        <w:tc>
          <w:tcPr>
            <w:tcW w:w="561" w:type="dxa"/>
          </w:tcPr>
          <w:p w14:paraId="503B2BF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0913B46D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53FD6475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91" w:type="dxa"/>
          </w:tcPr>
          <w:p w14:paraId="3B03B27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2.2. 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2077" w:type="dxa"/>
          </w:tcPr>
          <w:p w14:paraId="17E1A65E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79" w:type="dxa"/>
          </w:tcPr>
          <w:p w14:paraId="46B82DA7" w14:textId="77777777" w:rsidR="0047024A" w:rsidRPr="000E4F1B" w:rsidRDefault="0047024A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30 дней с даты получения уведомления или недостающих сведений</w:t>
            </w:r>
          </w:p>
          <w:p w14:paraId="22BC40C7" w14:textId="77777777" w:rsidR="0047024A" w:rsidRPr="000E4F1B" w:rsidRDefault="0047024A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- не позднее 3 рабочих дней со дня согласования с системным оператором тех.условий</w:t>
            </w:r>
          </w:p>
        </w:tc>
        <w:tc>
          <w:tcPr>
            <w:tcW w:w="2079" w:type="dxa"/>
          </w:tcPr>
          <w:p w14:paraId="2B0DD55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31B3B8EA" w14:textId="77777777" w:rsidTr="00F741D7">
        <w:tc>
          <w:tcPr>
            <w:tcW w:w="561" w:type="dxa"/>
          </w:tcPr>
          <w:p w14:paraId="4ED84EC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5B542A9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46F4044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91" w:type="dxa"/>
          </w:tcPr>
          <w:p w14:paraId="1A5514E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2.3. Подписание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077" w:type="dxa"/>
          </w:tcPr>
          <w:p w14:paraId="4D10889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0E55B193" w14:textId="77777777" w:rsidR="0047024A" w:rsidRPr="000E4F1B" w:rsidRDefault="0047024A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30 дней со дня получения заявителем проекта договора.</w:t>
            </w:r>
          </w:p>
          <w:p w14:paraId="088A1345" w14:textId="77777777" w:rsidR="0047024A" w:rsidRPr="000E4F1B" w:rsidRDefault="0047024A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не направления подписанного проекта договора либо мотивированного отказа от его подписания через 60 дней – заявка аннулируется</w:t>
            </w:r>
          </w:p>
        </w:tc>
        <w:tc>
          <w:tcPr>
            <w:tcW w:w="2079" w:type="dxa"/>
          </w:tcPr>
          <w:p w14:paraId="341200C1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2DCFF20F" w14:textId="77777777" w:rsidTr="00F741D7">
        <w:tc>
          <w:tcPr>
            <w:tcW w:w="561" w:type="dxa"/>
          </w:tcPr>
          <w:p w14:paraId="56C9C9D0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1650247B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1B94361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2791" w:type="dxa"/>
          </w:tcPr>
          <w:p w14:paraId="1FEBB4B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2.4.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2077" w:type="dxa"/>
          </w:tcPr>
          <w:p w14:paraId="307FEE2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Письменная форма мотивированного отказа, направляется способом, позволяющим подтвердить факт получения</w:t>
            </w:r>
          </w:p>
        </w:tc>
        <w:tc>
          <w:tcPr>
            <w:tcW w:w="2079" w:type="dxa"/>
          </w:tcPr>
          <w:p w14:paraId="36E1023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2079" w:type="dxa"/>
          </w:tcPr>
          <w:p w14:paraId="711E2DC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0D7A58E0" w14:textId="77777777" w:rsidTr="00F741D7">
        <w:tc>
          <w:tcPr>
            <w:tcW w:w="561" w:type="dxa"/>
          </w:tcPr>
          <w:p w14:paraId="1D85E22C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344278B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751DF04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1898A26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2.5.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отказа от подписания проекта договора</w:t>
            </w:r>
          </w:p>
        </w:tc>
        <w:tc>
          <w:tcPr>
            <w:tcW w:w="2077" w:type="dxa"/>
          </w:tcPr>
          <w:p w14:paraId="329BEB2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обслуживания потребителей</w:t>
            </w:r>
          </w:p>
        </w:tc>
        <w:tc>
          <w:tcPr>
            <w:tcW w:w="2079" w:type="dxa"/>
          </w:tcPr>
          <w:p w14:paraId="2299939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2079" w:type="dxa"/>
          </w:tcPr>
          <w:p w14:paraId="78C089F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77B0" w:rsidRPr="000E4F1B" w14:paraId="465B2C5D" w14:textId="77777777" w:rsidTr="00F741D7">
        <w:tc>
          <w:tcPr>
            <w:tcW w:w="561" w:type="dxa"/>
          </w:tcPr>
          <w:p w14:paraId="29B03210" w14:textId="77777777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</w:t>
            </w:r>
          </w:p>
        </w:tc>
        <w:tc>
          <w:tcPr>
            <w:tcW w:w="3112" w:type="dxa"/>
          </w:tcPr>
          <w:p w14:paraId="677D5B7D" w14:textId="01C23FCE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</w:t>
            </w:r>
          </w:p>
        </w:tc>
        <w:tc>
          <w:tcPr>
            <w:tcW w:w="1861" w:type="dxa"/>
          </w:tcPr>
          <w:p w14:paraId="4F2BB5C8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791" w:type="dxa"/>
          </w:tcPr>
          <w:p w14:paraId="5AE99EA9" w14:textId="77777777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3.1.В случае если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2077" w:type="dxa"/>
          </w:tcPr>
          <w:p w14:paraId="4F788D8A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5EDAC04C" w14:textId="77777777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не позднее 10 рабочих дней со дня выдачи технических условий лицу, в пользу которого перераспределяется максимальная мощность.</w:t>
            </w:r>
          </w:p>
        </w:tc>
        <w:tc>
          <w:tcPr>
            <w:tcW w:w="2079" w:type="dxa"/>
          </w:tcPr>
          <w:p w14:paraId="0910034C" w14:textId="77777777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38, 38(1)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1B92AAEA" w14:textId="77777777" w:rsidTr="00F741D7">
        <w:tc>
          <w:tcPr>
            <w:tcW w:w="561" w:type="dxa"/>
          </w:tcPr>
          <w:p w14:paraId="32C1B6A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</w:t>
            </w:r>
          </w:p>
        </w:tc>
        <w:tc>
          <w:tcPr>
            <w:tcW w:w="3112" w:type="dxa"/>
            <w:vMerge w:val="restart"/>
          </w:tcPr>
          <w:p w14:paraId="4C8876A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1861" w:type="dxa"/>
          </w:tcPr>
          <w:p w14:paraId="2A3D1D5E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2791" w:type="dxa"/>
          </w:tcPr>
          <w:p w14:paraId="059C6F2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4.1. Оплата услуг по договору об осуществлении технологического присоединения</w:t>
            </w:r>
          </w:p>
        </w:tc>
        <w:tc>
          <w:tcPr>
            <w:tcW w:w="2077" w:type="dxa"/>
          </w:tcPr>
          <w:p w14:paraId="5D61C48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0ABD24D8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153B35F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1D2A7995" w14:textId="77777777" w:rsidTr="00F741D7">
        <w:tc>
          <w:tcPr>
            <w:tcW w:w="561" w:type="dxa"/>
          </w:tcPr>
          <w:p w14:paraId="64B3867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563B14B8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3396B03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36F3BC0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4.2. Выполнение сетевой организацией мероприятий, предусмотренных договором</w:t>
            </w:r>
          </w:p>
        </w:tc>
        <w:tc>
          <w:tcPr>
            <w:tcW w:w="2077" w:type="dxa"/>
          </w:tcPr>
          <w:p w14:paraId="3F80FDEF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529A85C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0D0BEA5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47024A" w:rsidRPr="000E4F1B" w14:paraId="507A0A9B" w14:textId="77777777" w:rsidTr="00F741D7">
        <w:tc>
          <w:tcPr>
            <w:tcW w:w="561" w:type="dxa"/>
          </w:tcPr>
          <w:p w14:paraId="0186F86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31F49F3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108D27B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1238C2C7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4.3. 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</w:t>
            </w:r>
          </w:p>
        </w:tc>
        <w:tc>
          <w:tcPr>
            <w:tcW w:w="2077" w:type="dxa"/>
          </w:tcPr>
          <w:p w14:paraId="269505B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3E097FF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2079" w:type="dxa"/>
          </w:tcPr>
          <w:p w14:paraId="0D7EB1D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47024A" w:rsidRPr="000E4F1B" w14:paraId="4BB1F9A8" w14:textId="77777777" w:rsidTr="00F741D7">
        <w:tc>
          <w:tcPr>
            <w:tcW w:w="561" w:type="dxa"/>
          </w:tcPr>
          <w:p w14:paraId="74F5B34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10EC666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5820E6D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014592A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4.4. 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2077" w:type="dxa"/>
          </w:tcPr>
          <w:p w14:paraId="651755B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4B3F8FBE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607A378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</w:tr>
      <w:tr w:rsidR="0047024A" w:rsidRPr="000E4F1B" w14:paraId="3D8F1AC8" w14:textId="77777777" w:rsidTr="00F741D7">
        <w:tc>
          <w:tcPr>
            <w:tcW w:w="561" w:type="dxa"/>
          </w:tcPr>
          <w:p w14:paraId="05C38F4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3A5C6A30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066293A6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91" w:type="dxa"/>
          </w:tcPr>
          <w:p w14:paraId="0EC7037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4.5. 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077" w:type="dxa"/>
          </w:tcPr>
          <w:p w14:paraId="03DD0D5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2079" w:type="dxa"/>
          </w:tcPr>
          <w:p w14:paraId="5255173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После выполнения технических условий</w:t>
            </w:r>
          </w:p>
        </w:tc>
        <w:tc>
          <w:tcPr>
            <w:tcW w:w="2079" w:type="dxa"/>
          </w:tcPr>
          <w:p w14:paraId="2568B907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85, 86/93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04507EAE" w14:textId="77777777" w:rsidTr="00F741D7">
        <w:tc>
          <w:tcPr>
            <w:tcW w:w="561" w:type="dxa"/>
          </w:tcPr>
          <w:p w14:paraId="3603514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385317B2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66C0D2E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При необходимости согласования сетевой организации технических условий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с системным оператором</w:t>
            </w:r>
          </w:p>
        </w:tc>
        <w:tc>
          <w:tcPr>
            <w:tcW w:w="2791" w:type="dxa"/>
          </w:tcPr>
          <w:p w14:paraId="0E675CC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 xml:space="preserve">4.6.Направление сетевой организацией уведомления о готовности заявителя к проверке выполнения технических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2077" w:type="dxa"/>
          </w:tcPr>
          <w:p w14:paraId="2E5E2F7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 xml:space="preserve">Копии уведомления заявителя с необходимым пакетом документов способом,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позволяющим подтвердить факт получения</w:t>
            </w:r>
          </w:p>
        </w:tc>
        <w:tc>
          <w:tcPr>
            <w:tcW w:w="2079" w:type="dxa"/>
          </w:tcPr>
          <w:p w14:paraId="6E50539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В течение 2 дней со дня получения от заявителя</w:t>
            </w:r>
          </w:p>
        </w:tc>
        <w:tc>
          <w:tcPr>
            <w:tcW w:w="2079" w:type="dxa"/>
          </w:tcPr>
          <w:p w14:paraId="1AA34310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Пункты 94 Правил технологического присоединения энергопринимающих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устройств потребителей электрической энергии</w:t>
            </w:r>
          </w:p>
        </w:tc>
      </w:tr>
      <w:tr w:rsidR="0047024A" w:rsidRPr="000E4F1B" w14:paraId="75987416" w14:textId="77777777" w:rsidTr="00F741D7">
        <w:tc>
          <w:tcPr>
            <w:tcW w:w="561" w:type="dxa"/>
          </w:tcPr>
          <w:p w14:paraId="1F187FB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5</w:t>
            </w:r>
          </w:p>
        </w:tc>
        <w:tc>
          <w:tcPr>
            <w:tcW w:w="3112" w:type="dxa"/>
            <w:vMerge w:val="restart"/>
          </w:tcPr>
          <w:p w14:paraId="09E8C3F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Проверка выполнения технических условий</w:t>
            </w:r>
          </w:p>
        </w:tc>
        <w:tc>
          <w:tcPr>
            <w:tcW w:w="1861" w:type="dxa"/>
          </w:tcPr>
          <w:p w14:paraId="41B363F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tcW w:w="2791" w:type="dxa"/>
          </w:tcPr>
          <w:p w14:paraId="1A0F47F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5.1.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077" w:type="dxa"/>
          </w:tcPr>
          <w:p w14:paraId="57486F8C" w14:textId="77777777" w:rsidR="0047024A" w:rsidRPr="000E4F1B" w:rsidRDefault="0047024A" w:rsidP="002977B0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осмотра (обследования) электроустановки в письменной форме.</w:t>
            </w:r>
          </w:p>
          <w:p w14:paraId="10EC3D22" w14:textId="77777777" w:rsidR="0047024A" w:rsidRPr="000E4F1B" w:rsidRDefault="0047024A" w:rsidP="002977B0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2079" w:type="dxa"/>
          </w:tcPr>
          <w:p w14:paraId="51F1EAB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10 дней со дня получения от заявителя документов</w:t>
            </w:r>
          </w:p>
        </w:tc>
        <w:tc>
          <w:tcPr>
            <w:tcW w:w="2079" w:type="dxa"/>
          </w:tcPr>
          <w:p w14:paraId="48C62C2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13D64EC9" w14:textId="77777777" w:rsidTr="00F741D7">
        <w:tc>
          <w:tcPr>
            <w:tcW w:w="561" w:type="dxa"/>
          </w:tcPr>
          <w:p w14:paraId="74AA585D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460CE909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7854E4D8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791" w:type="dxa"/>
          </w:tcPr>
          <w:p w14:paraId="6BDC25D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5.2. 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2077" w:type="dxa"/>
          </w:tcPr>
          <w:p w14:paraId="77A5384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Согласованный Акт осмотра (обследования) электроустановки</w:t>
            </w:r>
          </w:p>
        </w:tc>
        <w:tc>
          <w:tcPr>
            <w:tcW w:w="2079" w:type="dxa"/>
          </w:tcPr>
          <w:p w14:paraId="186C96B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18DDE63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47E5D97D" w14:textId="77777777" w:rsidTr="00F741D7">
        <w:tc>
          <w:tcPr>
            <w:tcW w:w="561" w:type="dxa"/>
          </w:tcPr>
          <w:p w14:paraId="1F993755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53EC8833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343201F1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Для категории заявителей – с максимальной мощностью от 150до 670 кВт, по третьей категории надежности при технологическом присоединении к электрическим сетям до 10 кВ включительно.</w:t>
            </w:r>
          </w:p>
        </w:tc>
        <w:tc>
          <w:tcPr>
            <w:tcW w:w="2791" w:type="dxa"/>
          </w:tcPr>
          <w:p w14:paraId="7D81463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5.3.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2077" w:type="dxa"/>
          </w:tcPr>
          <w:p w14:paraId="63700A71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tcW w:w="2079" w:type="dxa"/>
          </w:tcPr>
          <w:p w14:paraId="5C4D7621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2079" w:type="dxa"/>
          </w:tcPr>
          <w:p w14:paraId="22B9AB1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7CDD890D" w14:textId="77777777" w:rsidTr="00F741D7">
        <w:tc>
          <w:tcPr>
            <w:tcW w:w="561" w:type="dxa"/>
          </w:tcPr>
          <w:p w14:paraId="57D5707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32488030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226A8E0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выполнению технических условий</w:t>
            </w:r>
          </w:p>
        </w:tc>
        <w:tc>
          <w:tcPr>
            <w:tcW w:w="2791" w:type="dxa"/>
          </w:tcPr>
          <w:p w14:paraId="6CD84FA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5.4. Повторный осмотр электроустановки заявителя</w:t>
            </w:r>
          </w:p>
        </w:tc>
        <w:tc>
          <w:tcPr>
            <w:tcW w:w="2077" w:type="dxa"/>
          </w:tcPr>
          <w:p w14:paraId="4175A09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осмотра (обследования) электроустановки в письменной форме.</w:t>
            </w:r>
          </w:p>
        </w:tc>
        <w:tc>
          <w:tcPr>
            <w:tcW w:w="2079" w:type="dxa"/>
          </w:tcPr>
          <w:p w14:paraId="589E03A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2079" w:type="dxa"/>
          </w:tcPr>
          <w:p w14:paraId="40FE750F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65EF6B46" w14:textId="77777777" w:rsidTr="00F741D7">
        <w:tc>
          <w:tcPr>
            <w:tcW w:w="561" w:type="dxa"/>
          </w:tcPr>
          <w:p w14:paraId="59DFB84C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76AE301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1379006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24118C65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5.5. Прием в эксплуатацию прибора учета.</w:t>
            </w:r>
          </w:p>
          <w:p w14:paraId="5043C6C6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Подписание сторонами и передача Акт допуска в эксплуатацию прибора учета.</w:t>
            </w:r>
          </w:p>
        </w:tc>
        <w:tc>
          <w:tcPr>
            <w:tcW w:w="2077" w:type="dxa"/>
          </w:tcPr>
          <w:p w14:paraId="532D69B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допуска в эксплуатацию прибора учета в письменной форме</w:t>
            </w:r>
          </w:p>
        </w:tc>
        <w:tc>
          <w:tcPr>
            <w:tcW w:w="2079" w:type="dxa"/>
          </w:tcPr>
          <w:p w14:paraId="103DEF9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день проведения проверки</w:t>
            </w:r>
          </w:p>
        </w:tc>
        <w:tc>
          <w:tcPr>
            <w:tcW w:w="2079" w:type="dxa"/>
          </w:tcPr>
          <w:p w14:paraId="331C7634" w14:textId="7706428D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Раздел Х Основ функционирования розничных рынков электрической энергии</w:t>
            </w:r>
            <w:r w:rsidR="00CD3279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</w:t>
            </w:r>
            <w:r w:rsidR="00CD3279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</w:tr>
      <w:tr w:rsidR="0047024A" w:rsidRPr="000E4F1B" w14:paraId="7A9CBDE7" w14:textId="77777777" w:rsidTr="00F741D7">
        <w:tc>
          <w:tcPr>
            <w:tcW w:w="561" w:type="dxa"/>
          </w:tcPr>
          <w:p w14:paraId="2CF35A16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0ED3C8EC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6DCFD1C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выполнения заявителем требований технических условий</w:t>
            </w:r>
          </w:p>
        </w:tc>
        <w:tc>
          <w:tcPr>
            <w:tcW w:w="2791" w:type="dxa"/>
          </w:tcPr>
          <w:p w14:paraId="58AFF3DE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5.6. Направление (выдача) заявителю Акта о выполнении технических условий в 2 экземплярах</w:t>
            </w:r>
          </w:p>
          <w:p w14:paraId="712B828F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Если технические условия подлежат согласованию с системным оператором</w:t>
            </w:r>
          </w:p>
          <w:p w14:paraId="2D3C8BE8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(выдача) заявителю Акта о выполнении технических условий в 3 экземплярах.</w:t>
            </w:r>
          </w:p>
        </w:tc>
        <w:tc>
          <w:tcPr>
            <w:tcW w:w="2077" w:type="dxa"/>
          </w:tcPr>
          <w:p w14:paraId="06D002C0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79" w:type="dxa"/>
          </w:tcPr>
          <w:p w14:paraId="75062D7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3-дневный срок после проведения осмотра</w:t>
            </w:r>
          </w:p>
        </w:tc>
        <w:tc>
          <w:tcPr>
            <w:tcW w:w="2079" w:type="dxa"/>
          </w:tcPr>
          <w:p w14:paraId="090AB3B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6BA1B1FD" w14:textId="77777777" w:rsidTr="00F741D7">
        <w:tc>
          <w:tcPr>
            <w:tcW w:w="561" w:type="dxa"/>
          </w:tcPr>
          <w:p w14:paraId="6A2E4BFD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0D26198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09AE2A1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79923462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5.7.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78F086FD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Если технические условия подлежат согласованию с системным оператором</w:t>
            </w:r>
          </w:p>
          <w:p w14:paraId="3E778D9F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Заявитель возвращает в сетевую организацию два экземпляра подписанного со своей стороны акта о выполнении технических условий.</w:t>
            </w:r>
          </w:p>
        </w:tc>
        <w:tc>
          <w:tcPr>
            <w:tcW w:w="2077" w:type="dxa"/>
          </w:tcPr>
          <w:p w14:paraId="0B80F46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79" w:type="dxa"/>
          </w:tcPr>
          <w:p w14:paraId="6D2C5BD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2079" w:type="dxa"/>
          </w:tcPr>
          <w:p w14:paraId="59CB69A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736E9" w:rsidRPr="000E4F1B" w14:paraId="02FFAF7B" w14:textId="77777777" w:rsidTr="00F741D7">
        <w:tc>
          <w:tcPr>
            <w:tcW w:w="561" w:type="dxa"/>
          </w:tcPr>
          <w:p w14:paraId="35363431" w14:textId="77777777" w:rsidR="009736E9" w:rsidRPr="000E4F1B" w:rsidRDefault="009736E9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6</w:t>
            </w:r>
          </w:p>
        </w:tc>
        <w:tc>
          <w:tcPr>
            <w:tcW w:w="3112" w:type="dxa"/>
          </w:tcPr>
          <w:p w14:paraId="7B7D0A3F" w14:textId="77777777" w:rsidR="009736E9" w:rsidRPr="000E4F1B" w:rsidRDefault="009736E9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</w:t>
            </w:r>
          </w:p>
          <w:p w14:paraId="06FF19E9" w14:textId="77777777" w:rsidR="009736E9" w:rsidRPr="000E4F1B" w:rsidRDefault="009736E9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и субъекта оперативно-диспетчерского управления (если технические условия подлежат согласованию с системным оператором )</w:t>
            </w:r>
          </w:p>
        </w:tc>
        <w:tc>
          <w:tcPr>
            <w:tcW w:w="1861" w:type="dxa"/>
          </w:tcPr>
          <w:p w14:paraId="0391BF6A" w14:textId="77777777" w:rsidR="009736E9" w:rsidRPr="000E4F1B" w:rsidRDefault="009736E9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Выполнение технических условий</w:t>
            </w:r>
          </w:p>
          <w:p w14:paraId="0968E8BA" w14:textId="77777777" w:rsidR="009736E9" w:rsidRPr="000E4F1B" w:rsidRDefault="009736E9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( за исключением заявителей , указанных в п.12 Правил технологического присоединения энергопринимающих устройств потребителей электрической энергии, в случае технологического присоединения их энергопринимающих устройств к электрическим сетям до 10 кВ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включительно и п. 12(1), 14).</w:t>
            </w:r>
          </w:p>
        </w:tc>
        <w:tc>
          <w:tcPr>
            <w:tcW w:w="2791" w:type="dxa"/>
          </w:tcPr>
          <w:p w14:paraId="18B4E949" w14:textId="77777777" w:rsidR="009736E9" w:rsidRPr="000E4F1B" w:rsidRDefault="009736E9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6.1.Получентие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2077" w:type="dxa"/>
          </w:tcPr>
          <w:p w14:paraId="6F665475" w14:textId="77777777" w:rsidR="009736E9" w:rsidRPr="000E4F1B" w:rsidRDefault="009736E9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43C2FC86" w14:textId="77777777" w:rsidR="009736E9" w:rsidRPr="000E4F1B" w:rsidRDefault="009736E9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2A5E6970" w14:textId="77777777" w:rsidR="009736E9" w:rsidRPr="000E4F1B" w:rsidRDefault="00F741D7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1E563F81" w14:textId="77777777" w:rsidTr="00F741D7">
        <w:tc>
          <w:tcPr>
            <w:tcW w:w="561" w:type="dxa"/>
            <w:vMerge w:val="restart"/>
          </w:tcPr>
          <w:p w14:paraId="25FBA13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7</w:t>
            </w:r>
          </w:p>
        </w:tc>
        <w:tc>
          <w:tcPr>
            <w:tcW w:w="3112" w:type="dxa"/>
            <w:vMerge w:val="restart"/>
          </w:tcPr>
          <w:p w14:paraId="416519F8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Присоединение объектов заявителя и подписание актов, подтверждающих технологическое присоединение</w:t>
            </w:r>
          </w:p>
        </w:tc>
        <w:tc>
          <w:tcPr>
            <w:tcW w:w="1861" w:type="dxa"/>
          </w:tcPr>
          <w:p w14:paraId="5EA21F2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791" w:type="dxa"/>
          </w:tcPr>
          <w:p w14:paraId="0C91EFC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7.1 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077" w:type="dxa"/>
          </w:tcPr>
          <w:p w14:paraId="55A7E87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258D711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3E38A67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5C2F5E0F" w14:textId="77777777" w:rsidTr="00F741D7">
        <w:tc>
          <w:tcPr>
            <w:tcW w:w="561" w:type="dxa"/>
            <w:vMerge/>
          </w:tcPr>
          <w:p w14:paraId="6DCEF467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37830AA1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393B9C07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3EDD94B5" w14:textId="77777777" w:rsidR="0047024A" w:rsidRPr="000E4F1B" w:rsidRDefault="0047024A" w:rsidP="00F741D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7.2. Оформление сетевой организации и направление (выдача) заявителю:</w:t>
            </w:r>
          </w:p>
          <w:p w14:paraId="559EA743" w14:textId="77777777" w:rsidR="0047024A" w:rsidRPr="000E4F1B" w:rsidRDefault="0047024A" w:rsidP="00F741D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Акта об осуществлении технологического присоединения;</w:t>
            </w:r>
          </w:p>
          <w:p w14:paraId="4283A86E" w14:textId="77777777" w:rsidR="0047024A" w:rsidRPr="000E4F1B" w:rsidRDefault="0047024A" w:rsidP="00F741D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Акта разграничения границ балансовой принадлежности сторон;</w:t>
            </w:r>
          </w:p>
          <w:p w14:paraId="4FE15DCD" w14:textId="77777777" w:rsidR="0047024A" w:rsidRPr="000E4F1B" w:rsidRDefault="0047024A" w:rsidP="00F741D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разграничения эксплуатационной ответственности сторон</w:t>
            </w:r>
          </w:p>
        </w:tc>
        <w:tc>
          <w:tcPr>
            <w:tcW w:w="2077" w:type="dxa"/>
          </w:tcPr>
          <w:p w14:paraId="13D8532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Подписанные со стороны сетевой организации Акты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79" w:type="dxa"/>
          </w:tcPr>
          <w:p w14:paraId="6CFA8BD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62D3389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3A1B1655" w14:textId="77777777" w:rsidTr="00F741D7">
        <w:tc>
          <w:tcPr>
            <w:tcW w:w="561" w:type="dxa"/>
          </w:tcPr>
          <w:p w14:paraId="203857CB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2C8CC144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2EDF223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4130BA5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7.3. Направление сетевой организацией подписанных с заявителем актов в энергосбытовую организацию</w:t>
            </w:r>
          </w:p>
        </w:tc>
        <w:tc>
          <w:tcPr>
            <w:tcW w:w="2077" w:type="dxa"/>
          </w:tcPr>
          <w:p w14:paraId="0569D9C7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письменной или электронной форме</w:t>
            </w:r>
          </w:p>
        </w:tc>
        <w:tc>
          <w:tcPr>
            <w:tcW w:w="2079" w:type="dxa"/>
          </w:tcPr>
          <w:p w14:paraId="48D45AE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2079" w:type="dxa"/>
          </w:tcPr>
          <w:p w14:paraId="15B0C8F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C3489DB" w14:textId="77777777" w:rsidR="00AC1893" w:rsidRPr="000E4F1B" w:rsidRDefault="00AC1893" w:rsidP="00AC1893">
      <w:pPr>
        <w:rPr>
          <w:rFonts w:ascii="Times New Roman" w:hAnsi="Times New Roman" w:cs="Times New Roman"/>
          <w:b/>
          <w:bCs/>
          <w:sz w:val="20"/>
          <w:szCs w:val="18"/>
        </w:rPr>
      </w:pPr>
    </w:p>
    <w:p w14:paraId="46995B45" w14:textId="299BE465" w:rsidR="00F741D7" w:rsidRPr="000E4F1B" w:rsidRDefault="00CD3279" w:rsidP="00AC1893">
      <w:pPr>
        <w:rPr>
          <w:rFonts w:ascii="Times New Roman" w:hAnsi="Times New Roman" w:cs="Times New Roman"/>
          <w:bCs/>
          <w:sz w:val="18"/>
          <w:szCs w:val="16"/>
        </w:rPr>
      </w:pPr>
      <w:r>
        <w:rPr>
          <w:rFonts w:ascii="Times New Roman" w:hAnsi="Times New Roman" w:cs="Times New Roman"/>
          <w:bCs/>
          <w:sz w:val="18"/>
          <w:szCs w:val="16"/>
        </w:rPr>
        <w:t>(</w:t>
      </w:r>
      <w:r w:rsidR="00F741D7" w:rsidRPr="000E4F1B">
        <w:rPr>
          <w:rFonts w:ascii="Times New Roman" w:hAnsi="Times New Roman" w:cs="Times New Roman"/>
          <w:bCs/>
          <w:sz w:val="18"/>
          <w:szCs w:val="16"/>
        </w:rPr>
        <w:t>1</w:t>
      </w:r>
      <w:r>
        <w:rPr>
          <w:rFonts w:ascii="Times New Roman" w:hAnsi="Times New Roman" w:cs="Times New Roman"/>
          <w:bCs/>
          <w:sz w:val="18"/>
          <w:szCs w:val="16"/>
        </w:rPr>
        <w:t>)</w:t>
      </w:r>
      <w:r w:rsidR="00F741D7" w:rsidRPr="000E4F1B">
        <w:rPr>
          <w:rFonts w:ascii="Times New Roman" w:hAnsi="Times New Roman" w:cs="Times New Roman"/>
          <w:bCs/>
          <w:sz w:val="18"/>
          <w:szCs w:val="16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14:paraId="044F2F33" w14:textId="76FE2AA6" w:rsidR="00F741D7" w:rsidRPr="000E4F1B" w:rsidRDefault="00CD3279" w:rsidP="00AC1893">
      <w:pPr>
        <w:rPr>
          <w:rFonts w:ascii="Times New Roman" w:hAnsi="Times New Roman" w:cs="Times New Roman"/>
          <w:bCs/>
          <w:sz w:val="18"/>
          <w:szCs w:val="16"/>
        </w:rPr>
      </w:pPr>
      <w:r>
        <w:rPr>
          <w:rFonts w:ascii="Times New Roman" w:hAnsi="Times New Roman" w:cs="Times New Roman"/>
          <w:bCs/>
          <w:sz w:val="18"/>
          <w:szCs w:val="16"/>
        </w:rPr>
        <w:t>(</w:t>
      </w:r>
      <w:r w:rsidR="00F741D7" w:rsidRPr="000E4F1B">
        <w:rPr>
          <w:rFonts w:ascii="Times New Roman" w:hAnsi="Times New Roman" w:cs="Times New Roman"/>
          <w:bCs/>
          <w:sz w:val="18"/>
          <w:szCs w:val="16"/>
        </w:rPr>
        <w:t>2</w:t>
      </w:r>
      <w:r>
        <w:rPr>
          <w:rFonts w:ascii="Times New Roman" w:hAnsi="Times New Roman" w:cs="Times New Roman"/>
          <w:bCs/>
          <w:sz w:val="18"/>
          <w:szCs w:val="16"/>
        </w:rPr>
        <w:t>)</w:t>
      </w:r>
      <w:r w:rsidR="00F741D7" w:rsidRPr="000E4F1B">
        <w:rPr>
          <w:rFonts w:ascii="Times New Roman" w:hAnsi="Times New Roman" w:cs="Times New Roman"/>
          <w:bCs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6CD275CA" w14:textId="77777777" w:rsidR="00F741D7" w:rsidRPr="000E4F1B" w:rsidRDefault="00F741D7" w:rsidP="00F7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0E4F1B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0B0F4636" w14:textId="77777777" w:rsidR="00CD3279" w:rsidRPr="002E4A87" w:rsidRDefault="00CD3279" w:rsidP="00CD3279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6405393E" w14:textId="77777777" w:rsidR="00CD3279" w:rsidRPr="00F77B81" w:rsidRDefault="00CD3279" w:rsidP="00CD3279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3771DF22" w14:textId="77777777" w:rsidR="00CD3279" w:rsidRPr="002E4A87" w:rsidRDefault="00CD3279" w:rsidP="00CD3279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30D10A6F" w14:textId="77777777" w:rsidR="00F741D7" w:rsidRPr="000E4F1B" w:rsidRDefault="00F741D7" w:rsidP="00F741D7">
      <w:pPr>
        <w:rPr>
          <w:rFonts w:ascii="Times New Roman" w:hAnsi="Times New Roman" w:cs="Times New Roman"/>
          <w:sz w:val="24"/>
        </w:rPr>
      </w:pPr>
    </w:p>
    <w:p w14:paraId="5E8A1ADD" w14:textId="77777777" w:rsidR="00AC1893" w:rsidRPr="00F741D7" w:rsidRDefault="00AC1893" w:rsidP="00AC1893">
      <w:pPr>
        <w:rPr>
          <w:rFonts w:cstheme="minorHAnsi"/>
          <w:b/>
          <w:sz w:val="18"/>
          <w:szCs w:val="18"/>
        </w:rPr>
      </w:pPr>
    </w:p>
    <w:sectPr w:rsidR="00AC1893" w:rsidRPr="00F741D7" w:rsidSect="000E4F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DF"/>
    <w:rsid w:val="000E4F1B"/>
    <w:rsid w:val="002977B0"/>
    <w:rsid w:val="00342104"/>
    <w:rsid w:val="00413EFE"/>
    <w:rsid w:val="0047024A"/>
    <w:rsid w:val="0056278B"/>
    <w:rsid w:val="00701D65"/>
    <w:rsid w:val="0085381F"/>
    <w:rsid w:val="008B77D0"/>
    <w:rsid w:val="009736E9"/>
    <w:rsid w:val="009A3CDF"/>
    <w:rsid w:val="00AC1893"/>
    <w:rsid w:val="00AE22B0"/>
    <w:rsid w:val="00CD3279"/>
    <w:rsid w:val="00CE4071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0AA9"/>
  <w15:chartTrackingRefBased/>
  <w15:docId w15:val="{D750F55A-F7E7-4D3B-9BE4-33F688DE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C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D3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11</cp:revision>
  <dcterms:created xsi:type="dcterms:W3CDTF">2017-03-28T04:41:00Z</dcterms:created>
  <dcterms:modified xsi:type="dcterms:W3CDTF">2021-01-15T10:22:00Z</dcterms:modified>
</cp:coreProperties>
</file>